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3E" w:rsidRDefault="00FB7A3E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</w:pPr>
    </w:p>
    <w:p w:rsidR="00FB7A3E" w:rsidRDefault="00FB7A3E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</w:pPr>
    </w:p>
    <w:p w:rsidR="00FB7A3E" w:rsidRDefault="00FB7A3E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</w:pPr>
    </w:p>
    <w:p w:rsidR="00F40C6F" w:rsidRPr="009C3142" w:rsidRDefault="00F40C6F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sz w:val="24"/>
          <w:szCs w:val="24"/>
          <w:lang w:eastAsia="zh-CN"/>
        </w:rPr>
      </w:pPr>
      <w:proofErr w:type="gramStart"/>
      <w:r w:rsidRPr="009C3142">
        <w:rPr>
          <w:rFonts w:ascii="Times New Roman" w:hAnsi="Times New Roman"/>
          <w:b/>
          <w:sz w:val="24"/>
          <w:szCs w:val="24"/>
        </w:rPr>
        <w:t>Supplementary Table 1</w:t>
      </w:r>
      <w:r w:rsidR="009C3142" w:rsidRPr="009C3142"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.</w:t>
      </w:r>
      <w:proofErr w:type="gramEnd"/>
      <w:r w:rsidRPr="009C3142">
        <w:rPr>
          <w:rFonts w:ascii="Times New Roman" w:hAnsi="Times New Roman"/>
          <w:b/>
          <w:sz w:val="24"/>
          <w:szCs w:val="24"/>
        </w:rPr>
        <w:t xml:space="preserve"> </w:t>
      </w:r>
      <w:r w:rsidRPr="00C2350E">
        <w:rPr>
          <w:rFonts w:ascii="Times New Roman" w:hAnsi="Times New Roman"/>
          <w:sz w:val="24"/>
          <w:szCs w:val="24"/>
        </w:rPr>
        <w:t xml:space="preserve">Comparison of the </w:t>
      </w:r>
      <w:r w:rsidR="006B7A1E" w:rsidRPr="00C2350E">
        <w:rPr>
          <w:rFonts w:ascii="Times New Roman" w:hAnsi="Times New Roman"/>
          <w:sz w:val="24"/>
          <w:szCs w:val="24"/>
        </w:rPr>
        <w:t>R</w:t>
      </w:r>
      <w:r w:rsidRPr="00C2350E">
        <w:rPr>
          <w:rFonts w:ascii="Times New Roman" w:hAnsi="Times New Roman"/>
          <w:sz w:val="24"/>
          <w:szCs w:val="24"/>
        </w:rPr>
        <w:t>isk of</w:t>
      </w:r>
      <w:r w:rsidR="006B7A1E" w:rsidRPr="00C2350E">
        <w:rPr>
          <w:rFonts w:ascii="Times New Roman" w:hAnsi="Times New Roman"/>
          <w:sz w:val="24"/>
          <w:szCs w:val="24"/>
        </w:rPr>
        <w:t xml:space="preserve"> Lymph</w:t>
      </w:r>
      <w:r w:rsidR="006B7A1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6B7A1E" w:rsidRPr="00C2350E">
        <w:rPr>
          <w:rFonts w:ascii="Times New Roman" w:hAnsi="Times New Roman"/>
          <w:sz w:val="24"/>
          <w:szCs w:val="24"/>
        </w:rPr>
        <w:t xml:space="preserve">Node Metastasis </w:t>
      </w:r>
      <w:proofErr w:type="gramStart"/>
      <w:r w:rsidR="006B7A1E" w:rsidRPr="00C2350E">
        <w:rPr>
          <w:rFonts w:ascii="Times New Roman" w:hAnsi="Times New Roman"/>
          <w:sz w:val="24"/>
          <w:szCs w:val="24"/>
        </w:rPr>
        <w:t>Between</w:t>
      </w:r>
      <w:proofErr w:type="gramEnd"/>
      <w:r w:rsidR="006B7A1E" w:rsidRPr="00C2350E">
        <w:rPr>
          <w:rFonts w:ascii="Times New Roman" w:hAnsi="Times New Roman"/>
          <w:sz w:val="24"/>
          <w:szCs w:val="24"/>
        </w:rPr>
        <w:t xml:space="preserve"> </w:t>
      </w:r>
      <w:r w:rsidRPr="00C2350E">
        <w:rPr>
          <w:rFonts w:ascii="Times New Roman" w:hAnsi="Times New Roman"/>
          <w:sz w:val="24"/>
          <w:szCs w:val="24"/>
        </w:rPr>
        <w:t xml:space="preserve">the </w:t>
      </w:r>
      <w:r w:rsidR="006B7A1E" w:rsidRPr="00C2350E">
        <w:rPr>
          <w:rFonts w:ascii="Times New Roman" w:hAnsi="Times New Roman"/>
          <w:sz w:val="24"/>
          <w:szCs w:val="24"/>
        </w:rPr>
        <w:t xml:space="preserve">Preoperative </w:t>
      </w:r>
      <w:r w:rsidRPr="00C2350E">
        <w:rPr>
          <w:rFonts w:ascii="Times New Roman" w:hAnsi="Times New Roman"/>
          <w:sz w:val="24"/>
          <w:szCs w:val="24"/>
        </w:rPr>
        <w:t>and</w:t>
      </w:r>
      <w:r w:rsidR="006B7A1E" w:rsidRPr="00C2350E">
        <w:rPr>
          <w:rFonts w:ascii="Times New Roman" w:hAnsi="Times New Roman"/>
          <w:sz w:val="24"/>
          <w:szCs w:val="24"/>
        </w:rPr>
        <w:t xml:space="preserve"> Permanent</w:t>
      </w:r>
      <w:r w:rsidR="006B7A1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6B7A1E" w:rsidRPr="00C2350E">
        <w:rPr>
          <w:rFonts w:ascii="Times New Roman" w:hAnsi="Times New Roman"/>
          <w:sz w:val="24"/>
          <w:szCs w:val="24"/>
        </w:rPr>
        <w:t>Section Diagnoses</w:t>
      </w:r>
      <w:r w:rsidRPr="00C2350E">
        <w:rPr>
          <w:rFonts w:ascii="Times New Roman" w:hAnsi="Times New Roman"/>
          <w:sz w:val="24"/>
          <w:szCs w:val="24"/>
        </w:rPr>
        <w:t xml:space="preserve"> in the 106 </w:t>
      </w:r>
      <w:r w:rsidR="006B7A1E" w:rsidRPr="00C2350E">
        <w:rPr>
          <w:rFonts w:ascii="Times New Roman" w:hAnsi="Times New Roman"/>
          <w:sz w:val="24"/>
          <w:szCs w:val="24"/>
        </w:rPr>
        <w:t>Patie</w:t>
      </w:r>
      <w:r w:rsidR="006B7A1E">
        <w:rPr>
          <w:rFonts w:ascii="Times New Roman" w:hAnsi="Times New Roman"/>
          <w:sz w:val="24"/>
          <w:szCs w:val="24"/>
        </w:rPr>
        <w:t>nts With Endometrial Carcinoma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569"/>
        <w:gridCol w:w="1014"/>
        <w:gridCol w:w="2234"/>
        <w:gridCol w:w="1052"/>
        <w:gridCol w:w="644"/>
        <w:gridCol w:w="991"/>
      </w:tblGrid>
      <w:tr w:rsidR="006B7A1E" w:rsidRPr="009C3142" w:rsidTr="006B7A1E">
        <w:trPr>
          <w:trHeight w:val="255"/>
        </w:trPr>
        <w:tc>
          <w:tcPr>
            <w:tcW w:w="151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6B7A1E" w:rsidRPr="009C3142" w:rsidRDefault="006B7A1E" w:rsidP="006B7A1E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Permanent</w:t>
            </w:r>
            <w:r>
              <w:rPr>
                <w:rFonts w:ascii="Times New Roman" w:eastAsiaTheme="minorEastAsia" w:hAnsi="Times New Roman" w:hint="eastAsia"/>
                <w:b/>
                <w:kern w:val="0"/>
                <w:sz w:val="24"/>
                <w:szCs w:val="24"/>
                <w:lang w:eastAsia="zh-CN"/>
              </w:rPr>
              <w:t xml:space="preserve"> </w:t>
            </w: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section diagnosis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B7A1E" w:rsidRPr="006B7A1E" w:rsidRDefault="006B7A1E" w:rsidP="006B7A1E">
            <w:pPr>
              <w:adjustRightInd w:val="0"/>
              <w:snapToGrid w:val="0"/>
              <w:jc w:val="center"/>
              <w:rPr>
                <w:rFonts w:ascii="Times New Roman" w:eastAsiaTheme="minorEastAsia" w:hAnsi="Times New Roman" w:hint="eastAsia"/>
                <w:b/>
                <w:kern w:val="0"/>
                <w:sz w:val="24"/>
                <w:szCs w:val="24"/>
                <w:lang w:eastAsia="zh-CN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Preoperative diagnosis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6B7A1E" w:rsidRPr="009C3142" w:rsidRDefault="006B7A1E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Total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6B7A1E" w:rsidRPr="009C3142" w:rsidRDefault="006B7A1E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Accuracy</w:t>
            </w:r>
          </w:p>
        </w:tc>
      </w:tr>
      <w:tr w:rsidR="009C3142" w:rsidRPr="009C3142" w:rsidTr="006B7A1E">
        <w:trPr>
          <w:trHeight w:val="255"/>
        </w:trPr>
        <w:tc>
          <w:tcPr>
            <w:tcW w:w="151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Unknown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Low + intermediate-risk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High- risk</w:t>
            </w:r>
          </w:p>
        </w:tc>
        <w:tc>
          <w:tcPr>
            <w:tcW w:w="37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</w:p>
        </w:tc>
      </w:tr>
      <w:tr w:rsidR="00F40C6F" w:rsidRPr="00C2350E" w:rsidTr="006B7A1E">
        <w:trPr>
          <w:trHeight w:val="255"/>
        </w:trPr>
        <w:tc>
          <w:tcPr>
            <w:tcW w:w="1510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Low + intermediate-risk</w:t>
            </w:r>
          </w:p>
        </w:tc>
        <w:tc>
          <w:tcPr>
            <w:tcW w:w="596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13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619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583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80%</w:t>
            </w:r>
          </w:p>
        </w:tc>
      </w:tr>
      <w:tr w:rsidR="00F40C6F" w:rsidRPr="00C2350E" w:rsidTr="006B7A1E">
        <w:trPr>
          <w:trHeight w:val="255"/>
        </w:trPr>
        <w:tc>
          <w:tcPr>
            <w:tcW w:w="1510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High-risk</w:t>
            </w:r>
          </w:p>
        </w:tc>
        <w:tc>
          <w:tcPr>
            <w:tcW w:w="596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13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19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79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583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54%</w:t>
            </w:r>
          </w:p>
        </w:tc>
      </w:tr>
      <w:tr w:rsidR="00F40C6F" w:rsidRPr="00C2350E" w:rsidTr="006B7A1E">
        <w:trPr>
          <w:trHeight w:val="263"/>
        </w:trPr>
        <w:tc>
          <w:tcPr>
            <w:tcW w:w="1510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596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313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619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79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583" w:type="pct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71%</w:t>
            </w:r>
          </w:p>
        </w:tc>
      </w:tr>
    </w:tbl>
    <w:p w:rsidR="00F40C6F" w:rsidRDefault="00F40C6F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sz w:val="24"/>
          <w:szCs w:val="24"/>
          <w:lang w:eastAsia="zh-CN"/>
        </w:rPr>
      </w:pPr>
    </w:p>
    <w:p w:rsidR="00FB7A3E" w:rsidRDefault="00FB7A3E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sz w:val="24"/>
          <w:szCs w:val="24"/>
          <w:lang w:eastAsia="zh-CN"/>
        </w:rPr>
      </w:pPr>
    </w:p>
    <w:p w:rsidR="00FB7A3E" w:rsidRPr="00FB7A3E" w:rsidRDefault="00FB7A3E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sz w:val="24"/>
          <w:szCs w:val="24"/>
          <w:lang w:eastAsia="zh-CN"/>
        </w:rPr>
      </w:pPr>
    </w:p>
    <w:p w:rsidR="00F40C6F" w:rsidRPr="009C3142" w:rsidRDefault="009C3142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sz w:val="24"/>
          <w:szCs w:val="24"/>
          <w:lang w:eastAsia="zh-CN"/>
        </w:rPr>
      </w:pPr>
      <w:proofErr w:type="gramStart"/>
      <w:r w:rsidRPr="009C3142">
        <w:rPr>
          <w:rFonts w:ascii="Times New Roman" w:hAnsi="Times New Roman"/>
          <w:b/>
          <w:sz w:val="24"/>
          <w:szCs w:val="24"/>
        </w:rPr>
        <w:t xml:space="preserve">Supplementary Table </w:t>
      </w:r>
      <w:r w:rsidR="00F40C6F" w:rsidRPr="009C3142">
        <w:rPr>
          <w:rFonts w:ascii="Times New Roman" w:hAnsi="Times New Roman"/>
          <w:b/>
          <w:sz w:val="24"/>
          <w:szCs w:val="24"/>
        </w:rPr>
        <w:t>2</w:t>
      </w:r>
      <w:r w:rsidRPr="009C3142"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.</w:t>
      </w:r>
      <w:proofErr w:type="gramEnd"/>
      <w:r w:rsidR="00F40C6F" w:rsidRPr="009C3142">
        <w:rPr>
          <w:rFonts w:ascii="Times New Roman" w:hAnsi="Times New Roman"/>
          <w:b/>
          <w:sz w:val="24"/>
          <w:szCs w:val="24"/>
        </w:rPr>
        <w:t xml:space="preserve"> </w:t>
      </w:r>
      <w:r w:rsidR="00F40C6F" w:rsidRPr="00C2350E">
        <w:rPr>
          <w:rFonts w:ascii="Times New Roman" w:hAnsi="Times New Roman"/>
          <w:sz w:val="24"/>
          <w:szCs w:val="24"/>
        </w:rPr>
        <w:t xml:space="preserve">Comparison of the </w:t>
      </w:r>
      <w:r w:rsidR="006B7A1E">
        <w:rPr>
          <w:rFonts w:ascii="Times New Roman" w:eastAsiaTheme="minorEastAsia" w:hAnsi="Times New Roman" w:hint="eastAsia"/>
          <w:sz w:val="24"/>
          <w:szCs w:val="24"/>
          <w:lang w:eastAsia="zh-CN"/>
        </w:rPr>
        <w:t>R</w:t>
      </w:r>
      <w:r w:rsidR="00F40C6F" w:rsidRPr="00C2350E">
        <w:rPr>
          <w:rFonts w:ascii="Times New Roman" w:hAnsi="Times New Roman"/>
          <w:sz w:val="24"/>
          <w:szCs w:val="24"/>
        </w:rPr>
        <w:t xml:space="preserve">isk of </w:t>
      </w:r>
      <w:r w:rsidR="006B7A1E" w:rsidRPr="00C2350E">
        <w:rPr>
          <w:rFonts w:ascii="Times New Roman" w:hAnsi="Times New Roman"/>
          <w:sz w:val="24"/>
          <w:szCs w:val="24"/>
        </w:rPr>
        <w:t>Lymph</w:t>
      </w:r>
      <w:r w:rsidR="006B7A1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6B7A1E" w:rsidRPr="00C2350E">
        <w:rPr>
          <w:rFonts w:ascii="Times New Roman" w:hAnsi="Times New Roman"/>
          <w:sz w:val="24"/>
          <w:szCs w:val="24"/>
        </w:rPr>
        <w:t>Node Metasta</w:t>
      </w:r>
      <w:r w:rsidR="006B7A1E">
        <w:rPr>
          <w:rFonts w:ascii="Times New Roman" w:eastAsiaTheme="minorEastAsia" w:hAnsi="Times New Roman"/>
          <w:sz w:val="24"/>
          <w:szCs w:val="24"/>
          <w:lang w:eastAsia="zh-CN"/>
        </w:rPr>
        <w:t>s</w:t>
      </w:r>
      <w:r w:rsidR="006B7A1E" w:rsidRPr="00C2350E">
        <w:rPr>
          <w:rFonts w:ascii="Times New Roman" w:hAnsi="Times New Roman"/>
          <w:sz w:val="24"/>
          <w:szCs w:val="24"/>
        </w:rPr>
        <w:t xml:space="preserve">is </w:t>
      </w:r>
      <w:proofErr w:type="gramStart"/>
      <w:r w:rsidR="006B7A1E" w:rsidRPr="00C2350E">
        <w:rPr>
          <w:rFonts w:ascii="Times New Roman" w:hAnsi="Times New Roman"/>
          <w:sz w:val="24"/>
          <w:szCs w:val="24"/>
        </w:rPr>
        <w:t>Between</w:t>
      </w:r>
      <w:proofErr w:type="gramEnd"/>
      <w:r w:rsidR="006B7A1E" w:rsidRPr="00C2350E">
        <w:rPr>
          <w:rFonts w:ascii="Times New Roman" w:hAnsi="Times New Roman"/>
          <w:sz w:val="24"/>
          <w:szCs w:val="24"/>
        </w:rPr>
        <w:t xml:space="preserve"> </w:t>
      </w:r>
      <w:r w:rsidR="00F40C6F" w:rsidRPr="00C2350E">
        <w:rPr>
          <w:rFonts w:ascii="Times New Roman" w:hAnsi="Times New Roman"/>
          <w:sz w:val="24"/>
          <w:szCs w:val="24"/>
        </w:rPr>
        <w:t xml:space="preserve">the </w:t>
      </w:r>
      <w:r w:rsidR="006B7A1E" w:rsidRPr="00C2350E">
        <w:rPr>
          <w:rFonts w:ascii="Times New Roman" w:hAnsi="Times New Roman"/>
          <w:sz w:val="24"/>
          <w:szCs w:val="24"/>
        </w:rPr>
        <w:t>Frozen</w:t>
      </w:r>
      <w:r w:rsidR="006B7A1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6B7A1E" w:rsidRPr="00C2350E">
        <w:rPr>
          <w:rFonts w:ascii="Times New Roman" w:hAnsi="Times New Roman"/>
          <w:sz w:val="24"/>
          <w:szCs w:val="24"/>
        </w:rPr>
        <w:t>Section</w:t>
      </w:r>
      <w:r w:rsidR="00F40C6F" w:rsidRPr="00C2350E">
        <w:rPr>
          <w:rFonts w:ascii="Times New Roman" w:hAnsi="Times New Roman"/>
          <w:sz w:val="24"/>
          <w:szCs w:val="24"/>
        </w:rPr>
        <w:t xml:space="preserve"> and </w:t>
      </w:r>
      <w:r w:rsidR="006B7A1E" w:rsidRPr="00C2350E">
        <w:rPr>
          <w:rFonts w:ascii="Times New Roman" w:hAnsi="Times New Roman"/>
          <w:sz w:val="24"/>
          <w:szCs w:val="24"/>
        </w:rPr>
        <w:t>Permanent</w:t>
      </w:r>
      <w:r w:rsidR="006B7A1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6B7A1E" w:rsidRPr="00C2350E">
        <w:rPr>
          <w:rFonts w:ascii="Times New Roman" w:hAnsi="Times New Roman"/>
          <w:sz w:val="24"/>
          <w:szCs w:val="24"/>
        </w:rPr>
        <w:t>Section Diagnoses</w:t>
      </w:r>
      <w:r w:rsidR="00F40C6F" w:rsidRPr="00C2350E">
        <w:rPr>
          <w:rFonts w:ascii="Times New Roman" w:hAnsi="Times New Roman"/>
          <w:sz w:val="24"/>
          <w:szCs w:val="24"/>
        </w:rPr>
        <w:t xml:space="preserve"> in the 106 </w:t>
      </w:r>
      <w:r w:rsidR="006B7A1E" w:rsidRPr="00C2350E">
        <w:rPr>
          <w:rFonts w:ascii="Times New Roman" w:hAnsi="Times New Roman"/>
          <w:sz w:val="24"/>
          <w:szCs w:val="24"/>
        </w:rPr>
        <w:t>Patients With Endometrial Carcinoma</w:t>
      </w:r>
    </w:p>
    <w:tbl>
      <w:tblPr>
        <w:tblW w:w="8504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251"/>
        <w:gridCol w:w="1193"/>
        <w:gridCol w:w="1974"/>
        <w:gridCol w:w="1179"/>
        <w:gridCol w:w="742"/>
        <w:gridCol w:w="1165"/>
      </w:tblGrid>
      <w:tr w:rsidR="009C3142" w:rsidRPr="009C3142" w:rsidTr="009C3142">
        <w:trPr>
          <w:trHeight w:val="255"/>
        </w:trPr>
        <w:tc>
          <w:tcPr>
            <w:tcW w:w="226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6B7A1E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Permanent</w:t>
            </w:r>
            <w:r w:rsidR="006B7A1E">
              <w:rPr>
                <w:rFonts w:ascii="Times New Roman" w:eastAsiaTheme="minorEastAsia" w:hAnsi="Times New Roman" w:hint="eastAsia"/>
                <w:b/>
                <w:kern w:val="0"/>
                <w:sz w:val="24"/>
                <w:szCs w:val="24"/>
                <w:lang w:eastAsia="zh-CN"/>
              </w:rPr>
              <w:t xml:space="preserve"> </w:t>
            </w: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section diagnosis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6B7A1E">
            <w:pPr>
              <w:adjustRightInd w:val="0"/>
              <w:snapToGrid w:val="0"/>
              <w:jc w:val="center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Frozen</w:t>
            </w:r>
            <w:r w:rsidR="006B7A1E">
              <w:rPr>
                <w:rFonts w:ascii="Times New Roman" w:eastAsiaTheme="minorEastAsia" w:hAnsi="Times New Roman" w:hint="eastAsia"/>
                <w:b/>
                <w:kern w:val="0"/>
                <w:sz w:val="24"/>
                <w:szCs w:val="24"/>
                <w:lang w:eastAsia="zh-CN"/>
              </w:rPr>
              <w:t xml:space="preserve"> </w:t>
            </w: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section diagnosis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Total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Accuracy</w:t>
            </w:r>
          </w:p>
        </w:tc>
      </w:tr>
      <w:tr w:rsidR="009C3142" w:rsidRPr="009C3142" w:rsidTr="009C3142">
        <w:trPr>
          <w:trHeight w:val="255"/>
        </w:trPr>
        <w:tc>
          <w:tcPr>
            <w:tcW w:w="226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Unknown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Low + intermediate-risk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  <w:r w:rsidRPr="009C3142"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  <w:t>High-risk</w:t>
            </w:r>
          </w:p>
        </w:tc>
        <w:tc>
          <w:tcPr>
            <w:tcW w:w="740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9C3142" w:rsidRPr="009C3142" w:rsidRDefault="009C3142" w:rsidP="009C31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kern w:val="0"/>
                <w:sz w:val="24"/>
                <w:szCs w:val="24"/>
              </w:rPr>
            </w:pPr>
          </w:p>
        </w:tc>
      </w:tr>
      <w:tr w:rsidR="00F40C6F" w:rsidRPr="00C2350E" w:rsidTr="009C3142">
        <w:trPr>
          <w:trHeight w:val="255"/>
        </w:trPr>
        <w:tc>
          <w:tcPr>
            <w:tcW w:w="2265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Low + intermediate-risk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96%</w:t>
            </w:r>
          </w:p>
        </w:tc>
      </w:tr>
      <w:tr w:rsidR="00F40C6F" w:rsidRPr="00C2350E" w:rsidTr="009C3142">
        <w:trPr>
          <w:trHeight w:val="255"/>
        </w:trPr>
        <w:tc>
          <w:tcPr>
            <w:tcW w:w="2265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High-risk</w:t>
            </w:r>
          </w:p>
        </w:tc>
        <w:tc>
          <w:tcPr>
            <w:tcW w:w="1190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70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176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163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62%</w:t>
            </w:r>
          </w:p>
        </w:tc>
      </w:tr>
      <w:tr w:rsidR="00F40C6F" w:rsidRPr="00C2350E" w:rsidTr="009C3142">
        <w:trPr>
          <w:trHeight w:val="263"/>
        </w:trPr>
        <w:tc>
          <w:tcPr>
            <w:tcW w:w="2265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1190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70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176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740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163" w:type="dxa"/>
            <w:noWrap/>
            <w:vAlign w:val="bottom"/>
            <w:hideMark/>
          </w:tcPr>
          <w:p w:rsidR="00F40C6F" w:rsidRPr="00C2350E" w:rsidRDefault="00F40C6F" w:rsidP="00295959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C2350E">
              <w:rPr>
                <w:rFonts w:ascii="Times New Roman" w:eastAsia="MS PGothic" w:hAnsi="Times New Roman"/>
                <w:kern w:val="0"/>
                <w:sz w:val="24"/>
                <w:szCs w:val="24"/>
              </w:rPr>
              <w:t>84%</w:t>
            </w:r>
          </w:p>
        </w:tc>
      </w:tr>
    </w:tbl>
    <w:p w:rsidR="00F40C6F" w:rsidRPr="006B7A1E" w:rsidRDefault="00F40C6F" w:rsidP="00F40C6F">
      <w:pPr>
        <w:adjustRightInd w:val="0"/>
        <w:snapToGrid w:val="0"/>
        <w:jc w:val="left"/>
        <w:rPr>
          <w:rFonts w:ascii="Times New Roman" w:eastAsiaTheme="minorEastAsia" w:hAnsi="Times New Roman" w:hint="eastAsia"/>
          <w:sz w:val="24"/>
          <w:szCs w:val="24"/>
          <w:lang w:eastAsia="zh-CN"/>
        </w:rPr>
      </w:pPr>
      <w:r w:rsidRPr="00C2350E">
        <w:rPr>
          <w:rFonts w:ascii="Times New Roman" w:hAnsi="Times New Roman"/>
          <w:sz w:val="24"/>
          <w:szCs w:val="24"/>
        </w:rPr>
        <w:t>Low-risk: G1 or G2, no muscular invasion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. </w:t>
      </w:r>
      <w:r w:rsidRPr="00C2350E">
        <w:rPr>
          <w:rFonts w:ascii="Times New Roman" w:hAnsi="Times New Roman"/>
          <w:sz w:val="24"/>
          <w:szCs w:val="24"/>
        </w:rPr>
        <w:t>Intermediate-risk: G1 or G2, &lt;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  <w:r w:rsidRPr="00C2350E">
        <w:rPr>
          <w:rFonts w:ascii="Times New Roman" w:hAnsi="Times New Roman"/>
          <w:sz w:val="24"/>
          <w:szCs w:val="24"/>
        </w:rPr>
        <w:t>1/2 invasion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. </w:t>
      </w:r>
      <w:r w:rsidRPr="00C2350E">
        <w:rPr>
          <w:rFonts w:ascii="Times New Roman" w:hAnsi="Times New Roman"/>
          <w:sz w:val="24"/>
          <w:szCs w:val="24"/>
        </w:rPr>
        <w:t>High-risk: high grade or ≥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  <w:r w:rsidRPr="00C2350E">
        <w:rPr>
          <w:rFonts w:ascii="Times New Roman" w:hAnsi="Times New Roman"/>
          <w:sz w:val="24"/>
          <w:szCs w:val="24"/>
        </w:rPr>
        <w:t>1/2 invasion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. </w:t>
      </w:r>
      <w:r w:rsidRPr="00C2350E">
        <w:rPr>
          <w:rFonts w:ascii="Times New Roman" w:hAnsi="Times New Roman"/>
          <w:sz w:val="24"/>
          <w:szCs w:val="24"/>
        </w:rPr>
        <w:t>High-grade: endometrioid G3, clear cell, serous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. </w:t>
      </w:r>
      <w:r w:rsidR="009C3142" w:rsidRPr="00C2350E">
        <w:rPr>
          <w:rFonts w:ascii="Times New Roman" w:hAnsi="Times New Roman"/>
          <w:sz w:val="24"/>
          <w:szCs w:val="24"/>
        </w:rPr>
        <w:t>There was a significant difference between the accuracies of the preoperat</w:t>
      </w:r>
      <w:r w:rsidR="009C3142">
        <w:rPr>
          <w:rFonts w:ascii="Times New Roman" w:hAnsi="Times New Roman"/>
          <w:sz w:val="24"/>
          <w:szCs w:val="24"/>
        </w:rPr>
        <w:t>ive and froze</w:t>
      </w:r>
      <w:r w:rsidR="006B7A1E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  <w:r w:rsidR="009C3142">
        <w:rPr>
          <w:rFonts w:ascii="Times New Roman" w:hAnsi="Times New Roman"/>
          <w:sz w:val="24"/>
          <w:szCs w:val="24"/>
        </w:rPr>
        <w:t>section diagnoses (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P </w:t>
      </w:r>
      <w:r w:rsidR="009C3142">
        <w:rPr>
          <w:rFonts w:ascii="Times New Roman" w:hAnsi="Times New Roman"/>
          <w:sz w:val="24"/>
          <w:szCs w:val="24"/>
        </w:rPr>
        <w:t>=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  <w:r w:rsidR="009C3142">
        <w:rPr>
          <w:rFonts w:ascii="Times New Roman" w:hAnsi="Times New Roman"/>
          <w:sz w:val="24"/>
          <w:szCs w:val="24"/>
        </w:rPr>
        <w:t>0.006)</w:t>
      </w:r>
      <w:r w:rsidR="009C3142">
        <w:rPr>
          <w:rFonts w:ascii="Times New Roman" w:eastAsiaTheme="minorEastAsia" w:hAnsi="Times New Roman" w:hint="eastAsia"/>
          <w:sz w:val="24"/>
          <w:szCs w:val="24"/>
          <w:lang w:eastAsia="zh-CN"/>
        </w:rPr>
        <w:t>.</w:t>
      </w:r>
    </w:p>
    <w:p w:rsidR="00F80E34" w:rsidRPr="006B7A1E" w:rsidRDefault="00F80E34"/>
    <w:sectPr w:rsidR="00F80E34" w:rsidRPr="006B7A1E" w:rsidSect="00F8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EF" w:rsidRDefault="001934EF" w:rsidP="009C3142">
      <w:r>
        <w:separator/>
      </w:r>
    </w:p>
  </w:endnote>
  <w:endnote w:type="continuationSeparator" w:id="0">
    <w:p w:rsidR="001934EF" w:rsidRDefault="001934EF" w:rsidP="009C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EF" w:rsidRDefault="001934EF" w:rsidP="009C3142">
      <w:r>
        <w:separator/>
      </w:r>
    </w:p>
  </w:footnote>
  <w:footnote w:type="continuationSeparator" w:id="0">
    <w:p w:rsidR="001934EF" w:rsidRDefault="001934EF" w:rsidP="009C3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C6F"/>
    <w:rsid w:val="0011675F"/>
    <w:rsid w:val="001934EF"/>
    <w:rsid w:val="0024571E"/>
    <w:rsid w:val="00257307"/>
    <w:rsid w:val="002F0AB3"/>
    <w:rsid w:val="003609DE"/>
    <w:rsid w:val="003C43E6"/>
    <w:rsid w:val="00465B00"/>
    <w:rsid w:val="004805DC"/>
    <w:rsid w:val="0054176D"/>
    <w:rsid w:val="0055744C"/>
    <w:rsid w:val="00670354"/>
    <w:rsid w:val="006B7A1E"/>
    <w:rsid w:val="00767BD9"/>
    <w:rsid w:val="008130BE"/>
    <w:rsid w:val="008838DF"/>
    <w:rsid w:val="008D2E27"/>
    <w:rsid w:val="008D2FAF"/>
    <w:rsid w:val="008D44AF"/>
    <w:rsid w:val="009C3142"/>
    <w:rsid w:val="009F17F5"/>
    <w:rsid w:val="00A000D2"/>
    <w:rsid w:val="00AA5365"/>
    <w:rsid w:val="00AD1552"/>
    <w:rsid w:val="00AD6FD5"/>
    <w:rsid w:val="00C275EA"/>
    <w:rsid w:val="00C5058F"/>
    <w:rsid w:val="00CA7220"/>
    <w:rsid w:val="00CB3817"/>
    <w:rsid w:val="00D74C87"/>
    <w:rsid w:val="00DC5E6B"/>
    <w:rsid w:val="00DF4489"/>
    <w:rsid w:val="00E01835"/>
    <w:rsid w:val="00EB4B72"/>
    <w:rsid w:val="00EC2610"/>
    <w:rsid w:val="00EC72E5"/>
    <w:rsid w:val="00F40C6F"/>
    <w:rsid w:val="00F60BDF"/>
    <w:rsid w:val="00F80E34"/>
    <w:rsid w:val="00FB567B"/>
    <w:rsid w:val="00FB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F"/>
    <w:pPr>
      <w:widowControl w:val="0"/>
      <w:jc w:val="both"/>
    </w:pPr>
    <w:rPr>
      <w:rFonts w:ascii="Century" w:eastAsia="MS Mincho" w:hAnsi="Century"/>
      <w:kern w:val="2"/>
      <w:sz w:val="21"/>
      <w:lang w:eastAsia="ja-JP"/>
    </w:rPr>
  </w:style>
  <w:style w:type="paragraph" w:styleId="1">
    <w:name w:val="heading 1"/>
    <w:basedOn w:val="a"/>
    <w:next w:val="a"/>
    <w:link w:val="1Char"/>
    <w:uiPriority w:val="99"/>
    <w:qFormat/>
    <w:rsid w:val="00257307"/>
    <w:pPr>
      <w:keepNext/>
      <w:widowControl/>
      <w:spacing w:line="240" w:lineRule="atLeast"/>
      <w:jc w:val="left"/>
      <w:outlineLvl w:val="0"/>
    </w:pPr>
    <w:rPr>
      <w:rFonts w:ascii="Cambria" w:eastAsiaTheme="minorEastAsia" w:hAnsi="Cambria"/>
      <w:b/>
      <w:kern w:val="32"/>
      <w:sz w:val="32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257307"/>
    <w:pPr>
      <w:keepNext/>
      <w:keepLines/>
      <w:widowControl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7307"/>
    <w:rPr>
      <w:rFonts w:ascii="Cambria" w:hAnsi="Cambria"/>
      <w:b/>
      <w:kern w:val="32"/>
      <w:sz w:val="32"/>
    </w:rPr>
  </w:style>
  <w:style w:type="character" w:customStyle="1" w:styleId="5Char">
    <w:name w:val="标题 5 Char"/>
    <w:basedOn w:val="a0"/>
    <w:link w:val="5"/>
    <w:semiHidden/>
    <w:rsid w:val="00257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257307"/>
    <w:pPr>
      <w:widowControl/>
      <w:ind w:left="720"/>
      <w:contextualSpacing/>
      <w:jc w:val="left"/>
    </w:pPr>
    <w:rPr>
      <w:rFonts w:ascii="Times New Roman" w:eastAsiaTheme="minorEastAsia" w:hAnsi="Times New Roman"/>
      <w:kern w:val="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9C3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3142"/>
    <w:rPr>
      <w:rFonts w:ascii="Century" w:eastAsia="MS Mincho" w:hAnsi="Century"/>
      <w:kern w:val="2"/>
      <w:sz w:val="18"/>
      <w:szCs w:val="18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9C3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3142"/>
    <w:rPr>
      <w:rFonts w:ascii="Century" w:eastAsia="MS Mincho" w:hAnsi="Century"/>
      <w:kern w:val="2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>MS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4</cp:revision>
  <dcterms:created xsi:type="dcterms:W3CDTF">2019-03-23T12:05:00Z</dcterms:created>
  <dcterms:modified xsi:type="dcterms:W3CDTF">2019-03-24T12:44:00Z</dcterms:modified>
</cp:coreProperties>
</file>